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176" w:type="dxa"/>
        <w:tblLook w:val="01E0"/>
      </w:tblPr>
      <w:tblGrid>
        <w:gridCol w:w="3828"/>
        <w:gridCol w:w="6096"/>
      </w:tblGrid>
      <w:tr w:rsidR="003631E5" w:rsidTr="0034049B">
        <w:tc>
          <w:tcPr>
            <w:tcW w:w="3828" w:type="dxa"/>
          </w:tcPr>
          <w:p w:rsidR="003631E5" w:rsidRPr="001042A6" w:rsidRDefault="003631E5" w:rsidP="0034049B">
            <w:pPr>
              <w:jc w:val="center"/>
              <w:rPr>
                <w:sz w:val="28"/>
                <w:szCs w:val="28"/>
              </w:rPr>
            </w:pPr>
            <w:r w:rsidRPr="001042A6">
              <w:rPr>
                <w:sz w:val="28"/>
                <w:szCs w:val="28"/>
              </w:rPr>
              <w:t>ỦY BAN MTTQ VIỆT NAM</w:t>
            </w:r>
          </w:p>
          <w:p w:rsidR="003631E5" w:rsidRPr="001042A6" w:rsidRDefault="003631E5" w:rsidP="0034049B">
            <w:pPr>
              <w:jc w:val="center"/>
              <w:rPr>
                <w:sz w:val="28"/>
                <w:szCs w:val="28"/>
              </w:rPr>
            </w:pPr>
            <w:r w:rsidRPr="001042A6">
              <w:rPr>
                <w:sz w:val="28"/>
                <w:szCs w:val="28"/>
              </w:rPr>
              <w:t>TỈNH HÀ TĨNH</w:t>
            </w:r>
          </w:p>
          <w:p w:rsidR="003631E5" w:rsidRPr="001042A6" w:rsidRDefault="003631E5" w:rsidP="0034049B">
            <w:pPr>
              <w:jc w:val="center"/>
              <w:rPr>
                <w:b/>
                <w:sz w:val="28"/>
                <w:szCs w:val="28"/>
              </w:rPr>
            </w:pPr>
            <w:r w:rsidRPr="001042A6">
              <w:rPr>
                <w:b/>
                <w:sz w:val="28"/>
                <w:szCs w:val="28"/>
              </w:rPr>
              <w:t>BAN THƯỜNG TRỰC</w:t>
            </w:r>
          </w:p>
          <w:p w:rsidR="003631E5" w:rsidRPr="005811A7" w:rsidRDefault="003631E5" w:rsidP="0034049B">
            <w:pPr>
              <w:spacing w:before="120"/>
              <w:jc w:val="center"/>
              <w:rPr>
                <w:b/>
                <w:sz w:val="28"/>
                <w:szCs w:val="28"/>
              </w:rPr>
            </w:pPr>
            <w:r w:rsidRPr="00F82E8A">
              <w:rPr>
                <w:noProof/>
              </w:rPr>
              <w:pict>
                <v:line id="Straight Connector 2" o:spid="_x0000_s1026" style="position:absolute;left:0;text-align:left;z-index:251660288;visibility:visible" from="35.15pt,1.25pt" to="14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"/>
              </w:pict>
            </w:r>
            <w:r>
              <w:rPr>
                <w:sz w:val="28"/>
                <w:szCs w:val="28"/>
              </w:rPr>
              <w:t>Số: 05/KH-MT</w:t>
            </w:r>
          </w:p>
        </w:tc>
        <w:tc>
          <w:tcPr>
            <w:tcW w:w="6096" w:type="dxa"/>
            <w:hideMark/>
          </w:tcPr>
          <w:p w:rsidR="003631E5" w:rsidRPr="001042A6" w:rsidRDefault="003631E5" w:rsidP="0034049B">
            <w:pPr>
              <w:jc w:val="center"/>
              <w:rPr>
                <w:b/>
                <w:sz w:val="28"/>
                <w:szCs w:val="28"/>
              </w:rPr>
            </w:pPr>
            <w:r w:rsidRPr="001042A6">
              <w:rPr>
                <w:b/>
                <w:sz w:val="28"/>
                <w:szCs w:val="28"/>
              </w:rPr>
              <w:t>CỘNG HÒA XÃ HỘI CHỦ NGHĨA VIỆT NAM</w:t>
            </w:r>
          </w:p>
          <w:p w:rsidR="003631E5" w:rsidRDefault="003631E5" w:rsidP="0034049B">
            <w:pPr>
              <w:jc w:val="center"/>
              <w:rPr>
                <w:b/>
                <w:sz w:val="28"/>
                <w:szCs w:val="28"/>
              </w:rPr>
            </w:pPr>
            <w:r>
              <w:rPr>
                <w:b/>
                <w:sz w:val="28"/>
                <w:szCs w:val="28"/>
              </w:rPr>
              <w:t>Độc lập - Tự do - Hạnh phúc</w:t>
            </w:r>
          </w:p>
          <w:p w:rsidR="003631E5" w:rsidRDefault="003631E5" w:rsidP="0034049B">
            <w:pPr>
              <w:jc w:val="center"/>
              <w:rPr>
                <w:sz w:val="28"/>
                <w:szCs w:val="28"/>
              </w:rPr>
            </w:pPr>
            <w:r w:rsidRPr="00F82E8A">
              <w:rPr>
                <w:noProof/>
              </w:rPr>
              <w:pict>
                <v:line id="Straight Connector 1" o:spid="_x0000_s1027" style="position:absolute;left:0;text-align:left;z-index:251661312;visibility:visible" from="60.5pt,1.95pt" to="2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"/>
              </w:pict>
            </w:r>
            <w:r>
              <w:rPr>
                <w:sz w:val="28"/>
                <w:szCs w:val="28"/>
              </w:rPr>
              <w:t xml:space="preserve">             </w:t>
            </w:r>
          </w:p>
          <w:p w:rsidR="003631E5" w:rsidRDefault="003631E5" w:rsidP="0034049B">
            <w:pPr>
              <w:jc w:val="center"/>
              <w:rPr>
                <w:sz w:val="28"/>
                <w:szCs w:val="28"/>
              </w:rPr>
            </w:pPr>
            <w:r>
              <w:rPr>
                <w:sz w:val="28"/>
                <w:szCs w:val="28"/>
              </w:rPr>
              <w:t xml:space="preserve">            </w:t>
            </w:r>
            <w:r>
              <w:rPr>
                <w:i/>
                <w:sz w:val="28"/>
                <w:szCs w:val="28"/>
              </w:rPr>
              <w:t>Hà Tĩnh, ngày 27 tháng 3 năm 2018</w:t>
            </w:r>
          </w:p>
        </w:tc>
      </w:tr>
    </w:tbl>
    <w:p w:rsidR="003631E5" w:rsidRDefault="003631E5" w:rsidP="003631E5">
      <w:pPr>
        <w:rPr>
          <w:b/>
          <w:sz w:val="26"/>
          <w:szCs w:val="26"/>
        </w:rPr>
      </w:pPr>
    </w:p>
    <w:p w:rsidR="003631E5" w:rsidRDefault="003631E5" w:rsidP="003631E5">
      <w:pPr>
        <w:jc w:val="center"/>
        <w:rPr>
          <w:b/>
          <w:sz w:val="28"/>
          <w:szCs w:val="28"/>
        </w:rPr>
      </w:pPr>
      <w:r>
        <w:rPr>
          <w:b/>
          <w:sz w:val="28"/>
          <w:szCs w:val="28"/>
        </w:rPr>
        <w:t>KẾ HOẠCH</w:t>
      </w:r>
    </w:p>
    <w:p w:rsidR="003631E5" w:rsidRDefault="003631E5" w:rsidP="003631E5">
      <w:pPr>
        <w:jc w:val="center"/>
        <w:rPr>
          <w:b/>
          <w:sz w:val="28"/>
          <w:szCs w:val="28"/>
        </w:rPr>
      </w:pPr>
      <w:r>
        <w:rPr>
          <w:b/>
          <w:sz w:val="28"/>
          <w:szCs w:val="28"/>
        </w:rPr>
        <w:t>Thực hiện chương trình phối hợp về giám sát và nâng cao hiệu quả</w:t>
      </w:r>
    </w:p>
    <w:p w:rsidR="003631E5" w:rsidRDefault="003631E5" w:rsidP="003631E5">
      <w:pPr>
        <w:jc w:val="center"/>
        <w:rPr>
          <w:b/>
          <w:sz w:val="28"/>
          <w:szCs w:val="28"/>
        </w:rPr>
      </w:pPr>
      <w:r>
        <w:rPr>
          <w:b/>
          <w:sz w:val="28"/>
          <w:szCs w:val="28"/>
        </w:rPr>
        <w:t>việc giải quyết khiếu nại, tố cáo ở cơ sở năm 2018</w:t>
      </w:r>
    </w:p>
    <w:p w:rsidR="003631E5" w:rsidRPr="002B07C2" w:rsidRDefault="003631E5" w:rsidP="003631E5">
      <w:pPr>
        <w:jc w:val="center"/>
        <w:rPr>
          <w:b/>
          <w:sz w:val="28"/>
          <w:szCs w:val="28"/>
        </w:rPr>
      </w:pPr>
    </w:p>
    <w:p w:rsidR="003631E5" w:rsidRPr="00523B53" w:rsidRDefault="003631E5" w:rsidP="003631E5">
      <w:pPr>
        <w:spacing w:before="120" w:after="120"/>
        <w:ind w:firstLine="720"/>
        <w:jc w:val="both"/>
        <w:rPr>
          <w:sz w:val="28"/>
          <w:szCs w:val="28"/>
        </w:rPr>
      </w:pPr>
      <w:r>
        <w:rPr>
          <w:spacing w:val="-4"/>
          <w:sz w:val="28"/>
          <w:szCs w:val="28"/>
        </w:rPr>
        <w:t xml:space="preserve">Căn cứ Kế hoạch số </w:t>
      </w:r>
      <w:r>
        <w:rPr>
          <w:sz w:val="28"/>
          <w:szCs w:val="28"/>
        </w:rPr>
        <w:t xml:space="preserve">489/KH-MTTW-BTT ngày 28/2/2018 của Ban Thường trực Ủy ban Trung ương Mặt trận Tổ quốc Việt Nam về thực hiện Chương trình phối hợp về giám sát và nâng cao hiệu quả việc giải quyết khiếu nại, tố cáo ở cơ sở năm 2018; </w:t>
      </w:r>
      <w:r>
        <w:rPr>
          <w:sz w:val="28"/>
          <w:szCs w:val="28"/>
          <w:lang w:val="nl-NL"/>
        </w:rPr>
        <w:t>Ban Thường trực Ủy ban MTTQ Việt Nam tỉnh xây dựng kế hoạch thực hiện Chương trình phối hợp về giám sát và nâng cao hiệu quả việc giải quyết khiếu nại, tố cáo ở cơ sở năm 2018 như sau:</w:t>
      </w:r>
    </w:p>
    <w:p w:rsidR="003631E5" w:rsidRDefault="003631E5" w:rsidP="003631E5">
      <w:pPr>
        <w:spacing w:before="120" w:after="120"/>
        <w:ind w:firstLine="720"/>
        <w:jc w:val="both"/>
        <w:rPr>
          <w:b/>
          <w:sz w:val="28"/>
          <w:szCs w:val="28"/>
          <w:lang w:val="nl-NL"/>
        </w:rPr>
      </w:pPr>
      <w:r>
        <w:rPr>
          <w:b/>
          <w:sz w:val="28"/>
          <w:szCs w:val="28"/>
          <w:lang w:val="nl-NL"/>
        </w:rPr>
        <w:t>I. MỤC ĐÍCH, YÊU CẦU</w:t>
      </w:r>
    </w:p>
    <w:p w:rsidR="003631E5" w:rsidRDefault="003631E5" w:rsidP="003631E5">
      <w:pPr>
        <w:spacing w:before="120" w:after="120"/>
        <w:ind w:firstLine="720"/>
        <w:jc w:val="both"/>
        <w:rPr>
          <w:b/>
          <w:sz w:val="28"/>
          <w:szCs w:val="28"/>
        </w:rPr>
      </w:pPr>
      <w:r>
        <w:rPr>
          <w:b/>
          <w:sz w:val="28"/>
          <w:szCs w:val="28"/>
        </w:rPr>
        <w:t>1. Mục đích</w:t>
      </w:r>
    </w:p>
    <w:p w:rsidR="003631E5" w:rsidRDefault="003631E5" w:rsidP="003631E5">
      <w:pPr>
        <w:spacing w:before="120" w:after="120"/>
        <w:ind w:firstLine="720"/>
        <w:jc w:val="both"/>
        <w:rPr>
          <w:sz w:val="28"/>
          <w:szCs w:val="28"/>
          <w:lang w:val="nl-NL"/>
        </w:rPr>
      </w:pPr>
      <w:r>
        <w:rPr>
          <w:sz w:val="28"/>
          <w:szCs w:val="28"/>
        </w:rPr>
        <w:t xml:space="preserve">Tiếp tục triển khai có hiệu quả </w:t>
      </w:r>
      <w:r>
        <w:rPr>
          <w:sz w:val="28"/>
          <w:szCs w:val="28"/>
          <w:lang w:val="nl-NL"/>
        </w:rPr>
        <w:t>Chương trình phối hợp số 03-CTPH/MTTQ-TTr-STP-HLG-ĐLS ngày 12/3/2015 giữa Ban Thường trực Ủy ban MTTQ Việt Nam tỉnh với Thanh tra tỉnh, Sở Tư pháp, Hội Luật gia, Đoàn Luật sư tỉnh về Chương trình phối hợp giám sát và nâng cao hiệu quả việc giải quyết khiếu nại tố cáo ở cơ sở.</w:t>
      </w:r>
    </w:p>
    <w:p w:rsidR="003631E5" w:rsidRDefault="003631E5" w:rsidP="003631E5">
      <w:pPr>
        <w:spacing w:before="120" w:after="120"/>
        <w:ind w:firstLine="720"/>
        <w:jc w:val="both"/>
        <w:rPr>
          <w:sz w:val="28"/>
          <w:szCs w:val="28"/>
          <w:lang w:val="nl-NL"/>
        </w:rPr>
      </w:pPr>
      <w:r>
        <w:rPr>
          <w:sz w:val="28"/>
          <w:szCs w:val="28"/>
          <w:lang w:val="nl-NL"/>
        </w:rPr>
        <w:t xml:space="preserve">Đẩy mạnh công tác tuyên truyền, phổ biến, giáo dục pháp luật trong đoàn viên, </w:t>
      </w:r>
      <w:r w:rsidRPr="00A807DB">
        <w:rPr>
          <w:spacing w:val="-1"/>
          <w:sz w:val="28"/>
          <w:szCs w:val="28"/>
          <w:lang w:val="nl-NL"/>
        </w:rPr>
        <w:t>hội viên và các tầng lớp nhân dân nhằm nâng cao nhận thức về pháp luật tiếp công dân, khiếu nại và giải quyết khiếu nại, tố cáo, hòa giải ở cơ sở, trợ giúp pháp lý; nâng cao vai trò, trách nhiệm quản lý của cơ quan nhà nước, chính quyền các cấp và chức năng giám sát của Mặt trận và các tổ chức thành viên trong lĩnh vực giải quyết khiếu nại, tố cáo, tiếp công dân; kịp thời nắm bắt tâm tư nguyện vọng, ý kiến, kiến nghị của công dân tham mưu kịp thời với Đảng, đề nghị với Nhà nước, chính quy</w:t>
      </w:r>
      <w:r>
        <w:rPr>
          <w:sz w:val="28"/>
          <w:szCs w:val="28"/>
          <w:lang w:val="nl-NL"/>
        </w:rPr>
        <w:t>ền các cấp giải quyết, bảo đảm quyền và lợi ích hợp pháp, chính đáng của công dân.</w:t>
      </w:r>
    </w:p>
    <w:p w:rsidR="003631E5" w:rsidRDefault="003631E5" w:rsidP="003631E5">
      <w:pPr>
        <w:spacing w:before="120" w:after="120"/>
        <w:ind w:firstLine="720"/>
        <w:jc w:val="both"/>
        <w:rPr>
          <w:b/>
          <w:sz w:val="28"/>
          <w:szCs w:val="28"/>
          <w:lang w:val="nl-NL"/>
        </w:rPr>
      </w:pPr>
      <w:r>
        <w:rPr>
          <w:b/>
          <w:sz w:val="28"/>
          <w:szCs w:val="28"/>
          <w:lang w:val="nl-NL"/>
        </w:rPr>
        <w:t>2. Yêu cầu</w:t>
      </w:r>
    </w:p>
    <w:p w:rsidR="003631E5" w:rsidRDefault="003631E5" w:rsidP="003631E5">
      <w:pPr>
        <w:spacing w:before="120" w:after="120"/>
        <w:ind w:firstLine="720"/>
        <w:jc w:val="both"/>
        <w:rPr>
          <w:sz w:val="28"/>
          <w:szCs w:val="28"/>
          <w:lang w:val="nl-NL"/>
        </w:rPr>
      </w:pPr>
      <w:r>
        <w:rPr>
          <w:sz w:val="28"/>
          <w:szCs w:val="28"/>
          <w:lang w:val="nl-NL"/>
        </w:rPr>
        <w:t>Hoạt động phối hợp phải tuân thủ đúng quy định của Hiến pháp năm 2013, Luật Mặt trận Tổ quốc Việt Nam, Luật Khiếu nại, Luật Tố cáo, Luật Tiếp công dân và các văn bản pháp luật hiện hành có liên quan.</w:t>
      </w:r>
    </w:p>
    <w:p w:rsidR="003631E5" w:rsidRDefault="003631E5" w:rsidP="003631E5">
      <w:pPr>
        <w:spacing w:before="120" w:after="120"/>
        <w:ind w:firstLine="720"/>
        <w:jc w:val="both"/>
        <w:rPr>
          <w:sz w:val="28"/>
          <w:szCs w:val="28"/>
          <w:lang w:val="nl-NL"/>
        </w:rPr>
      </w:pPr>
      <w:r>
        <w:rPr>
          <w:sz w:val="28"/>
          <w:szCs w:val="28"/>
          <w:lang w:val="nl-NL"/>
        </w:rPr>
        <w:t>Ban Thường trực Ủy ban MTTQ Việt Nam tỉnh, Thanh tra tỉnh, Sở Tư pháp, Hội Luật gia, Đoàn Luật sư tỉnh thường xuyên phối hợp chặt chẽ, trao đổi thông tin kịp thời để hoàn thành tốt nhiệm vụ đã nêu trong Chương trình phối hợp, đồng thời hướng dẫn cơ quan cấp dưới phối hợp thực hiện có hiệu quả chương trình phối hợp, định kỳ tổ chức sơ, tổng kết, thực hiên nghiêm túc chế độ thông tin báo cáo định kỳ theo quy định.</w:t>
      </w:r>
    </w:p>
    <w:p w:rsidR="003631E5" w:rsidRDefault="003631E5" w:rsidP="003631E5">
      <w:pPr>
        <w:spacing w:before="120" w:after="120"/>
        <w:ind w:firstLine="720"/>
        <w:jc w:val="both"/>
        <w:rPr>
          <w:b/>
          <w:sz w:val="28"/>
          <w:szCs w:val="28"/>
          <w:lang w:val="nl-NL"/>
        </w:rPr>
      </w:pPr>
      <w:r>
        <w:rPr>
          <w:b/>
          <w:sz w:val="28"/>
          <w:szCs w:val="28"/>
          <w:lang w:val="nl-NL"/>
        </w:rPr>
        <w:t>II. NHIỆM VỤ TRỌNG TÂM THỰC HIỆN</w:t>
      </w:r>
    </w:p>
    <w:p w:rsidR="003631E5" w:rsidRDefault="003631E5" w:rsidP="003631E5">
      <w:pPr>
        <w:spacing w:before="120" w:after="120"/>
        <w:ind w:firstLine="720"/>
        <w:jc w:val="both"/>
        <w:rPr>
          <w:b/>
          <w:sz w:val="28"/>
          <w:szCs w:val="28"/>
          <w:lang w:val="nl-NL"/>
        </w:rPr>
      </w:pPr>
      <w:r>
        <w:rPr>
          <w:b/>
          <w:sz w:val="28"/>
          <w:szCs w:val="28"/>
          <w:lang w:val="nl-NL"/>
        </w:rPr>
        <w:lastRenderedPageBreak/>
        <w:t>1. Lãnh đạo các bên liên quan tiếp tục chỉ đạo các đơn vị tiếp tục triển khai thực hiện Chương trình phối hợp</w:t>
      </w:r>
    </w:p>
    <w:p w:rsidR="003631E5" w:rsidRDefault="003631E5" w:rsidP="003631E5">
      <w:pPr>
        <w:spacing w:before="120" w:after="120"/>
        <w:ind w:firstLine="720"/>
        <w:jc w:val="both"/>
        <w:rPr>
          <w:i/>
          <w:sz w:val="28"/>
          <w:szCs w:val="28"/>
          <w:lang w:val="nl-NL"/>
        </w:rPr>
      </w:pPr>
      <w:r>
        <w:rPr>
          <w:sz w:val="28"/>
          <w:szCs w:val="28"/>
          <w:lang w:val="nl-NL"/>
        </w:rPr>
        <w:t>Cơ quan chủ trì: Ủy ban MTTQ Việt Nam tỉnh.</w:t>
      </w:r>
    </w:p>
    <w:p w:rsidR="003631E5" w:rsidRDefault="003631E5" w:rsidP="003631E5">
      <w:pPr>
        <w:spacing w:before="120" w:after="120"/>
        <w:ind w:firstLine="720"/>
        <w:jc w:val="both"/>
        <w:rPr>
          <w:sz w:val="28"/>
          <w:szCs w:val="28"/>
          <w:lang w:val="nl-NL"/>
        </w:rPr>
      </w:pPr>
      <w:r>
        <w:rPr>
          <w:sz w:val="28"/>
          <w:szCs w:val="28"/>
          <w:lang w:val="nl-NL"/>
        </w:rPr>
        <w:t>Thời gian thực hiện: Quý I và II năm 2018.</w:t>
      </w:r>
    </w:p>
    <w:p w:rsidR="003631E5" w:rsidRDefault="003631E5" w:rsidP="003631E5">
      <w:pPr>
        <w:spacing w:before="120" w:after="120"/>
        <w:ind w:firstLine="720"/>
        <w:jc w:val="both"/>
        <w:rPr>
          <w:sz w:val="28"/>
          <w:szCs w:val="28"/>
          <w:lang w:val="nl-NL"/>
        </w:rPr>
      </w:pPr>
      <w:r>
        <w:rPr>
          <w:sz w:val="28"/>
          <w:szCs w:val="28"/>
          <w:lang w:val="nl-NL"/>
        </w:rPr>
        <w:t>Ban Thường trực Ủy ban MTTQ Việt Nam tỉnh chủ trì, phối hợp Thanh tra tỉnh, Sở Tư pháp, Hội Luật gia, Đoàn Luật sư tỉnh xây dựng kế hoạch và triển khai thực hiện Chương trình phối hợp.</w:t>
      </w:r>
    </w:p>
    <w:p w:rsidR="003631E5" w:rsidRDefault="003631E5" w:rsidP="003631E5">
      <w:pPr>
        <w:spacing w:before="120" w:after="120"/>
        <w:ind w:firstLine="720"/>
        <w:jc w:val="both"/>
        <w:rPr>
          <w:b/>
          <w:sz w:val="28"/>
          <w:szCs w:val="28"/>
          <w:lang w:val="nl-NL"/>
        </w:rPr>
      </w:pPr>
      <w:r>
        <w:rPr>
          <w:b/>
          <w:sz w:val="28"/>
          <w:szCs w:val="28"/>
          <w:lang w:val="nl-NL"/>
        </w:rPr>
        <w:t>2. Lựa chọn vụ việc khiếu nại, tố cáo để giám sát</w:t>
      </w:r>
    </w:p>
    <w:p w:rsidR="003631E5" w:rsidRDefault="003631E5" w:rsidP="003631E5">
      <w:pPr>
        <w:spacing w:before="120" w:after="120"/>
        <w:ind w:firstLine="720"/>
        <w:jc w:val="both"/>
        <w:rPr>
          <w:sz w:val="28"/>
          <w:szCs w:val="28"/>
          <w:lang w:val="nl-NL"/>
        </w:rPr>
      </w:pPr>
      <w:r>
        <w:rPr>
          <w:sz w:val="28"/>
          <w:szCs w:val="28"/>
          <w:lang w:val="nl-NL"/>
        </w:rPr>
        <w:t xml:space="preserve"> Ban Thường trực Ủy ban MTTQ Việt Nam cấp tỉnh, cấp huyện chủ trì, phối hợp với các bên liên quan cùng cấp lựa chọn một số vụ việc khiếu nại, tố cáo ảnh hưởng trực tiếp đến quyền, lợi ích hợp pháp, chính đáng của công dân; những vụ việc đã được cơ quan có thẩm quyền xem xét, giải quyết nhưng phát hiện có dấu hiệu vi phạm pháp luật hoặc công dân vẫn  tiếp  tục khiếu nại, tố cáo; những vụ việc tồn đọng, kéo dài, vượt cấp, đông người, phức tạp “điểm nóng” trên địa bàn để  tiến hành giám sát và kiến nghị với cơ quan có thẩm quyền hướng giải quyết. </w:t>
      </w:r>
    </w:p>
    <w:p w:rsidR="003631E5" w:rsidRPr="00644DA3" w:rsidRDefault="003631E5" w:rsidP="003631E5">
      <w:pPr>
        <w:spacing w:before="120" w:after="120"/>
        <w:ind w:firstLine="720"/>
        <w:jc w:val="both"/>
        <w:rPr>
          <w:sz w:val="28"/>
          <w:szCs w:val="28"/>
          <w:lang w:val="nl-NL"/>
        </w:rPr>
      </w:pPr>
      <w:r>
        <w:rPr>
          <w:sz w:val="28"/>
          <w:szCs w:val="28"/>
          <w:lang w:val="nl-NL"/>
        </w:rPr>
        <w:t>Kết quả giám sát báo cáo về Ban Thường trực Ủy ban MTTQ Việt Nam tỉnh trước ngày 15/12/2018 để tổng hợp báo cáo Ủy ban Trung ương Mặt trận Tổ quốc Việt Nam.</w:t>
      </w:r>
    </w:p>
    <w:p w:rsidR="003631E5" w:rsidRDefault="003631E5" w:rsidP="003631E5">
      <w:pPr>
        <w:spacing w:before="120" w:after="120"/>
        <w:ind w:firstLine="720"/>
        <w:jc w:val="both"/>
        <w:rPr>
          <w:sz w:val="28"/>
          <w:szCs w:val="28"/>
          <w:lang w:val="nl-NL"/>
        </w:rPr>
      </w:pPr>
      <w:r>
        <w:rPr>
          <w:b/>
          <w:sz w:val="28"/>
          <w:szCs w:val="28"/>
          <w:lang w:val="nl-NL"/>
        </w:rPr>
        <w:t>3. Giám sát kết luận giám sát năm 2017</w:t>
      </w:r>
    </w:p>
    <w:p w:rsidR="003631E5" w:rsidRDefault="003631E5" w:rsidP="003631E5">
      <w:pPr>
        <w:spacing w:before="120" w:after="120"/>
        <w:ind w:firstLine="720"/>
        <w:jc w:val="both"/>
        <w:rPr>
          <w:b/>
          <w:sz w:val="28"/>
          <w:szCs w:val="28"/>
          <w:lang w:val="nl-NL"/>
        </w:rPr>
      </w:pPr>
      <w:r>
        <w:rPr>
          <w:sz w:val="28"/>
          <w:szCs w:val="28"/>
          <w:lang w:val="nl-NL"/>
        </w:rPr>
        <w:t>Tiếp tục theo dõi, rà soát việc giải quyết của cơ quan có thẩm quyền đối với thông báo kết luận giám sát việc thực hiện pháp luật về khiếu nại, tố cáo, tiếp công dân trên địa bàn tỉnh năm 2017. Trên cơ sở đó, Ban Thường trực Ủy ban MTTQ Việt Nam tỉnh tiếp tục kiến nghị đến cơ quan có thẩm quyền và tiếp tục chỉ đạo, phối hợp giải quyết dứt điểm các tồn tại trong việc tiếp công dân, giải quyết  khiếu nại, tố cáo của chính quyền các cấp mà Đoàn giám sát chuyên đề năm 2017 của Ban Thường trực Ủy ban MTTQ tỉnh đã chỉ ra.</w:t>
      </w:r>
    </w:p>
    <w:p w:rsidR="003631E5" w:rsidRDefault="003631E5" w:rsidP="003631E5">
      <w:pPr>
        <w:spacing w:before="120" w:after="120"/>
        <w:ind w:firstLine="720"/>
        <w:jc w:val="both"/>
        <w:rPr>
          <w:sz w:val="28"/>
          <w:szCs w:val="28"/>
          <w:lang w:val="nl-NL"/>
        </w:rPr>
      </w:pPr>
      <w:r>
        <w:rPr>
          <w:b/>
          <w:sz w:val="28"/>
          <w:szCs w:val="28"/>
          <w:lang w:val="nl-NL"/>
        </w:rPr>
        <w:t>4. Triển khai hoạt động tư vấn, trợ giúp pháp lý cho công dân</w:t>
      </w:r>
    </w:p>
    <w:p w:rsidR="003631E5" w:rsidRDefault="003631E5" w:rsidP="003631E5">
      <w:pPr>
        <w:tabs>
          <w:tab w:val="left" w:pos="-140"/>
          <w:tab w:val="left" w:pos="540"/>
          <w:tab w:val="left" w:pos="935"/>
        </w:tabs>
        <w:spacing w:before="120" w:after="120"/>
        <w:ind w:firstLine="720"/>
        <w:jc w:val="both"/>
        <w:rPr>
          <w:rFonts w:cs="Times New Roman"/>
          <w:spacing w:val="-4"/>
          <w:sz w:val="28"/>
          <w:szCs w:val="28"/>
          <w:lang w:val="nl-NL"/>
        </w:rPr>
      </w:pPr>
      <w:r>
        <w:rPr>
          <w:rFonts w:cs="Times New Roman"/>
          <w:sz w:val="28"/>
          <w:szCs w:val="28"/>
          <w:lang w:val="nl-NL"/>
        </w:rPr>
        <w:t>Phối hợp với Hội Luật gia tỉnh, Trung tâm Trợ giúp pháp lý thuộc Sở Tư pháp lựa chọn từ 03 đến 05 vụ việc thuộc diện trợ giúp pháp lý để thực hiện trợ giúp pháp lý miễn phí (</w:t>
      </w:r>
      <w:r w:rsidRPr="00493C1B">
        <w:rPr>
          <w:rFonts w:cs="Times New Roman"/>
          <w:sz w:val="28"/>
          <w:szCs w:val="28"/>
          <w:lang w:val="nl-NL"/>
        </w:rPr>
        <w:t xml:space="preserve">trong đó ưu tiên giải quyết các trường hợp theo đề nghị của Ban Thường trực Ủy ban </w:t>
      </w:r>
      <w:r w:rsidRPr="00493C1B">
        <w:rPr>
          <w:rFonts w:cs="Times New Roman"/>
          <w:spacing w:val="2"/>
          <w:sz w:val="28"/>
          <w:szCs w:val="28"/>
          <w:lang w:val="nl-NL"/>
        </w:rPr>
        <w:t>MTTQ Việt Nam</w:t>
      </w:r>
      <w:r w:rsidRPr="00493C1B">
        <w:rPr>
          <w:rFonts w:cs="Times New Roman"/>
          <w:sz w:val="28"/>
          <w:szCs w:val="28"/>
          <w:lang w:val="nl-NL"/>
        </w:rPr>
        <w:t xml:space="preserve"> các cấp</w:t>
      </w:r>
      <w:r>
        <w:rPr>
          <w:rFonts w:cs="Times New Roman"/>
          <w:sz w:val="28"/>
          <w:szCs w:val="28"/>
          <w:lang w:val="nl-NL"/>
        </w:rPr>
        <w:t xml:space="preserve">). </w:t>
      </w:r>
    </w:p>
    <w:p w:rsidR="003631E5" w:rsidRDefault="003631E5" w:rsidP="003631E5">
      <w:pPr>
        <w:pStyle w:val="BodyTextIndent"/>
        <w:spacing w:before="120"/>
        <w:ind w:left="0" w:firstLine="720"/>
        <w:jc w:val="both"/>
        <w:rPr>
          <w:rFonts w:cs="Times New Roman"/>
          <w:spacing w:val="-6"/>
          <w:sz w:val="28"/>
          <w:szCs w:val="28"/>
          <w:lang w:val="nl-NL"/>
        </w:rPr>
      </w:pPr>
      <w:r>
        <w:rPr>
          <w:rFonts w:cs="Times New Roman"/>
          <w:spacing w:val="2"/>
          <w:sz w:val="28"/>
          <w:szCs w:val="28"/>
          <w:lang w:val="nl-NL"/>
        </w:rPr>
        <w:t xml:space="preserve">Ban Thường trực Ủy ban MTTQ Việt Nam cấp huyện hướng dẫn Ủy ban MTTQ Việt Nam cấp xã chủ động phối hợp với các cơ quan Tư pháp, Luật gia, Ban Thanh tra nhân nhân, </w:t>
      </w:r>
      <w:r>
        <w:rPr>
          <w:rFonts w:cs="Times New Roman"/>
          <w:sz w:val="28"/>
          <w:szCs w:val="28"/>
          <w:lang w:val="nl-NL"/>
        </w:rPr>
        <w:t>Ban Giám sát đầu tư của cộng đồng, Tổ hòa giải ở cơ sở theo dõi</w:t>
      </w:r>
      <w:r>
        <w:rPr>
          <w:rFonts w:cs="Times New Roman"/>
          <w:spacing w:val="2"/>
          <w:sz w:val="28"/>
          <w:szCs w:val="28"/>
          <w:lang w:val="nl-NL"/>
        </w:rPr>
        <w:t xml:space="preserve">, giám sát, </w:t>
      </w:r>
      <w:r>
        <w:rPr>
          <w:rFonts w:cs="Times New Roman"/>
          <w:spacing w:val="-4"/>
          <w:sz w:val="28"/>
          <w:szCs w:val="28"/>
          <w:lang w:val="nl-NL"/>
        </w:rPr>
        <w:t xml:space="preserve">phát hiện và </w:t>
      </w:r>
      <w:r>
        <w:rPr>
          <w:rFonts w:cs="Times New Roman"/>
          <w:sz w:val="28"/>
          <w:szCs w:val="28"/>
          <w:lang w:val="nl-NL"/>
        </w:rPr>
        <w:t>kiến nghị chính quyền giải quyết kịp thời những thiếu sót</w:t>
      </w:r>
      <w:r>
        <w:rPr>
          <w:rFonts w:cs="Times New Roman"/>
          <w:spacing w:val="-4"/>
          <w:sz w:val="28"/>
          <w:szCs w:val="28"/>
          <w:lang w:val="nl-NL"/>
        </w:rPr>
        <w:t xml:space="preserve">, </w:t>
      </w:r>
      <w:r>
        <w:rPr>
          <w:rFonts w:cs="Times New Roman"/>
          <w:sz w:val="28"/>
          <w:szCs w:val="28"/>
          <w:lang w:val="nl-NL"/>
        </w:rPr>
        <w:t>vụ việc tiêu cực</w:t>
      </w:r>
      <w:r>
        <w:rPr>
          <w:rFonts w:cs="Times New Roman"/>
          <w:spacing w:val="-4"/>
          <w:sz w:val="28"/>
          <w:szCs w:val="28"/>
          <w:lang w:val="nl-NL"/>
        </w:rPr>
        <w:t xml:space="preserve">; </w:t>
      </w:r>
      <w:r>
        <w:rPr>
          <w:rFonts w:cs="Times New Roman"/>
          <w:sz w:val="28"/>
          <w:szCs w:val="28"/>
          <w:lang w:val="nl-NL"/>
        </w:rPr>
        <w:t>giám sát việc giải quyết khiếu nại</w:t>
      </w:r>
      <w:r>
        <w:rPr>
          <w:rFonts w:cs="Times New Roman"/>
          <w:spacing w:val="-4"/>
          <w:sz w:val="28"/>
          <w:szCs w:val="28"/>
          <w:lang w:val="nl-NL"/>
        </w:rPr>
        <w:t xml:space="preserve">, </w:t>
      </w:r>
      <w:r>
        <w:rPr>
          <w:rFonts w:cs="Times New Roman"/>
          <w:sz w:val="28"/>
          <w:szCs w:val="28"/>
          <w:lang w:val="nl-NL"/>
        </w:rPr>
        <w:t>tố cáo, tiếp công dân của chính quyền ở cơ sở</w:t>
      </w:r>
      <w:r>
        <w:rPr>
          <w:rFonts w:cs="Times New Roman"/>
          <w:spacing w:val="-6"/>
          <w:sz w:val="28"/>
          <w:szCs w:val="28"/>
          <w:lang w:val="nl-NL"/>
        </w:rPr>
        <w:t>.</w:t>
      </w:r>
    </w:p>
    <w:p w:rsidR="003631E5" w:rsidRDefault="003631E5" w:rsidP="003631E5">
      <w:pPr>
        <w:pStyle w:val="BodyTextIndent"/>
        <w:spacing w:before="120"/>
        <w:ind w:left="0" w:firstLine="720"/>
        <w:jc w:val="both"/>
        <w:rPr>
          <w:rFonts w:cs="Times New Roman"/>
          <w:spacing w:val="2"/>
          <w:sz w:val="28"/>
          <w:szCs w:val="28"/>
          <w:lang w:val="nl-NL"/>
        </w:rPr>
      </w:pPr>
    </w:p>
    <w:p w:rsidR="003631E5" w:rsidRDefault="003631E5" w:rsidP="003631E5">
      <w:pPr>
        <w:spacing w:before="120" w:after="120"/>
        <w:ind w:firstLine="720"/>
        <w:jc w:val="both"/>
        <w:rPr>
          <w:b/>
          <w:color w:val="000000"/>
          <w:sz w:val="28"/>
          <w:szCs w:val="28"/>
          <w:lang w:val="nl-NL"/>
        </w:rPr>
      </w:pPr>
      <w:r>
        <w:rPr>
          <w:b/>
          <w:color w:val="000000"/>
          <w:sz w:val="28"/>
          <w:szCs w:val="28"/>
          <w:lang w:val="nl-NL"/>
        </w:rPr>
        <w:t>III. TỔ CHỨC THỰC HIỆN</w:t>
      </w:r>
    </w:p>
    <w:p w:rsidR="003631E5" w:rsidRDefault="003631E5" w:rsidP="003631E5">
      <w:pPr>
        <w:spacing w:before="120" w:after="120"/>
        <w:ind w:firstLine="720"/>
        <w:jc w:val="both"/>
        <w:rPr>
          <w:sz w:val="28"/>
          <w:szCs w:val="28"/>
          <w:lang w:val="nl-NL"/>
        </w:rPr>
      </w:pPr>
      <w:r w:rsidRPr="00676517">
        <w:rPr>
          <w:sz w:val="28"/>
          <w:szCs w:val="28"/>
          <w:lang w:val="nl-NL"/>
        </w:rPr>
        <w:lastRenderedPageBreak/>
        <w:t>1.</w:t>
      </w:r>
      <w:r>
        <w:rPr>
          <w:sz w:val="28"/>
          <w:szCs w:val="28"/>
          <w:lang w:val="nl-NL"/>
        </w:rPr>
        <w:t xml:space="preserve"> Ban Thường trực Ủy ban MTTQ Việt Nam tỉnh, Thanh tra tỉnh, Sở Tư pháp, Hội Luật gia, Đoàn Luật sư tỉnh phối hợp triển khai thực hiện bảo đảm đúng theo kế hoạch đề ra.</w:t>
      </w:r>
    </w:p>
    <w:p w:rsidR="003631E5" w:rsidRDefault="003631E5" w:rsidP="003631E5">
      <w:pPr>
        <w:spacing w:before="120" w:after="120"/>
        <w:ind w:firstLine="720"/>
        <w:jc w:val="both"/>
        <w:rPr>
          <w:i/>
          <w:sz w:val="28"/>
          <w:szCs w:val="28"/>
          <w:lang w:val="nl-NL"/>
        </w:rPr>
      </w:pPr>
      <w:r w:rsidRPr="00B76577">
        <w:rPr>
          <w:sz w:val="28"/>
          <w:szCs w:val="28"/>
          <w:lang w:val="nl-NL"/>
        </w:rPr>
        <w:t>2</w:t>
      </w:r>
      <w:r>
        <w:rPr>
          <w:sz w:val="28"/>
          <w:szCs w:val="28"/>
          <w:lang w:val="nl-NL"/>
        </w:rPr>
        <w:t xml:space="preserve">. Ban Thường trực Ủy ban MTTQ Việt Nam các huyện, thị xã, thành phố xây dựng kế hoạch tổ chức </w:t>
      </w:r>
      <w:r>
        <w:rPr>
          <w:sz w:val="28"/>
          <w:szCs w:val="28"/>
        </w:rPr>
        <w:t>thực hiện Chương trình phối hợp trên, h</w:t>
      </w:r>
      <w:r>
        <w:rPr>
          <w:sz w:val="28"/>
          <w:szCs w:val="28"/>
          <w:lang w:val="nl-NL"/>
        </w:rPr>
        <w:t>ướng dẫn Ban Thường trực Ủy ban MTTQ Việt Nam các xã, phường, thị trấn tổ chức thực hiện. Báo cáo kết quả thực hiện gửi về Ủy ban MTTQ Việt Nam tỉnh qua Ban Dân chủ - pháp luật (</w:t>
      </w:r>
      <w:r w:rsidRPr="001B2F04">
        <w:rPr>
          <w:sz w:val="28"/>
          <w:szCs w:val="28"/>
          <w:lang w:val="nl-NL"/>
        </w:rPr>
        <w:t xml:space="preserve">Email: </w:t>
      </w:r>
      <w:r w:rsidRPr="001B2F04">
        <w:rPr>
          <w:spacing w:val="-2"/>
          <w:sz w:val="28"/>
          <w:szCs w:val="28"/>
          <w:lang w:val="vi-VN"/>
        </w:rPr>
        <w:t>bandcpl</w:t>
      </w:r>
      <w:r w:rsidRPr="001B2F04">
        <w:rPr>
          <w:spacing w:val="-2"/>
          <w:sz w:val="28"/>
          <w:szCs w:val="28"/>
        </w:rPr>
        <w:t>.</w:t>
      </w:r>
      <w:r w:rsidRPr="001B2F04">
        <w:rPr>
          <w:spacing w:val="-2"/>
          <w:sz w:val="28"/>
          <w:szCs w:val="28"/>
          <w:lang w:val="vi-VN"/>
        </w:rPr>
        <w:t>mtt</w:t>
      </w:r>
      <w:r w:rsidRPr="001B2F04">
        <w:rPr>
          <w:spacing w:val="-2"/>
          <w:sz w:val="28"/>
          <w:szCs w:val="28"/>
        </w:rPr>
        <w:t>qht</w:t>
      </w:r>
      <w:r w:rsidRPr="001B2F04">
        <w:rPr>
          <w:spacing w:val="-2"/>
          <w:sz w:val="28"/>
          <w:szCs w:val="28"/>
          <w:lang w:val="vi-VN"/>
        </w:rPr>
        <w:t>@gmail.com</w:t>
      </w:r>
      <w:r w:rsidRPr="001B2F04">
        <w:rPr>
          <w:sz w:val="28"/>
          <w:szCs w:val="28"/>
          <w:lang w:val="nl-NL"/>
        </w:rPr>
        <w:t>)</w:t>
      </w:r>
      <w:r w:rsidRPr="001B2F04">
        <w:rPr>
          <w:b/>
          <w:sz w:val="28"/>
          <w:szCs w:val="28"/>
          <w:lang w:val="nl-NL"/>
        </w:rPr>
        <w:t xml:space="preserve"> </w:t>
      </w:r>
      <w:r w:rsidRPr="001B2F04">
        <w:rPr>
          <w:i/>
          <w:sz w:val="28"/>
          <w:szCs w:val="28"/>
          <w:lang w:val="nl-NL"/>
        </w:rPr>
        <w:t>trước ngày 15/12/2018</w:t>
      </w:r>
      <w:r w:rsidRPr="001B2F04">
        <w:rPr>
          <w:b/>
          <w:i/>
          <w:sz w:val="28"/>
          <w:szCs w:val="28"/>
          <w:lang w:val="nl-NL"/>
        </w:rPr>
        <w:t xml:space="preserve"> </w:t>
      </w:r>
      <w:r w:rsidRPr="001B2F04">
        <w:rPr>
          <w:i/>
          <w:sz w:val="28"/>
          <w:szCs w:val="28"/>
          <w:lang w:val="nl-NL"/>
        </w:rPr>
        <w:t>.</w:t>
      </w:r>
    </w:p>
    <w:p w:rsidR="003631E5" w:rsidRPr="00B76577" w:rsidRDefault="003631E5" w:rsidP="003631E5">
      <w:pPr>
        <w:spacing w:before="120" w:after="120"/>
        <w:ind w:firstLine="720"/>
        <w:jc w:val="both"/>
        <w:rPr>
          <w:sz w:val="28"/>
          <w:szCs w:val="28"/>
          <w:lang w:val="nl-NL"/>
        </w:rPr>
      </w:pPr>
      <w:r>
        <w:rPr>
          <w:sz w:val="28"/>
          <w:szCs w:val="28"/>
          <w:lang w:val="nl-NL"/>
        </w:rPr>
        <w:t>Trên đây là kế hoạch thực hiện Chương trình phối hợp về giám sát và nâng cao hiệu quả việc giải quyết khiếu nại, tố cáo ở cơ sở năm 2018 của Ban Thường trực Uỷ ban MTTQ tỉnh.</w:t>
      </w:r>
    </w:p>
    <w:tbl>
      <w:tblPr>
        <w:tblW w:w="9180" w:type="dxa"/>
        <w:tblInd w:w="108" w:type="dxa"/>
        <w:tblLook w:val="01E0"/>
      </w:tblPr>
      <w:tblGrid>
        <w:gridCol w:w="4680"/>
        <w:gridCol w:w="4500"/>
      </w:tblGrid>
      <w:tr w:rsidR="003631E5" w:rsidTr="0034049B">
        <w:trPr>
          <w:trHeight w:val="2512"/>
        </w:trPr>
        <w:tc>
          <w:tcPr>
            <w:tcW w:w="4680" w:type="dxa"/>
            <w:hideMark/>
          </w:tcPr>
          <w:p w:rsidR="003631E5" w:rsidRDefault="003631E5" w:rsidP="0034049B">
            <w:pPr>
              <w:tabs>
                <w:tab w:val="left" w:pos="1500"/>
                <w:tab w:val="center" w:pos="2458"/>
              </w:tabs>
              <w:jc w:val="both"/>
              <w:rPr>
                <w:b/>
                <w:i/>
                <w:sz w:val="24"/>
                <w:szCs w:val="24"/>
                <w:lang w:val="nl-NL"/>
              </w:rPr>
            </w:pPr>
            <w:r>
              <w:rPr>
                <w:b/>
                <w:i/>
                <w:sz w:val="24"/>
                <w:szCs w:val="24"/>
                <w:lang w:val="nl-NL"/>
              </w:rPr>
              <w:t>Nơi nhận:</w:t>
            </w:r>
          </w:p>
          <w:p w:rsidR="003631E5" w:rsidRDefault="003631E5" w:rsidP="0034049B">
            <w:pPr>
              <w:tabs>
                <w:tab w:val="left" w:pos="1500"/>
                <w:tab w:val="center" w:pos="2458"/>
              </w:tabs>
              <w:rPr>
                <w:sz w:val="22"/>
                <w:szCs w:val="22"/>
                <w:lang w:val="nl-NL"/>
              </w:rPr>
            </w:pPr>
            <w:r>
              <w:rPr>
                <w:sz w:val="22"/>
                <w:szCs w:val="22"/>
                <w:lang w:val="nl-NL"/>
              </w:rPr>
              <w:t>- Ban DCPL-UBTWMTTQVN;</w:t>
            </w:r>
          </w:p>
          <w:p w:rsidR="003631E5" w:rsidRDefault="003631E5" w:rsidP="0034049B">
            <w:pPr>
              <w:tabs>
                <w:tab w:val="left" w:pos="1500"/>
                <w:tab w:val="center" w:pos="2458"/>
              </w:tabs>
              <w:jc w:val="both"/>
              <w:rPr>
                <w:sz w:val="22"/>
                <w:szCs w:val="22"/>
              </w:rPr>
            </w:pPr>
            <w:r>
              <w:rPr>
                <w:sz w:val="22"/>
                <w:szCs w:val="22"/>
              </w:rPr>
              <w:t>- Thanh tra tỉnh;</w:t>
            </w:r>
          </w:p>
          <w:p w:rsidR="003631E5" w:rsidRDefault="003631E5" w:rsidP="0034049B">
            <w:pPr>
              <w:tabs>
                <w:tab w:val="left" w:pos="1500"/>
                <w:tab w:val="center" w:pos="2458"/>
              </w:tabs>
              <w:jc w:val="both"/>
              <w:rPr>
                <w:sz w:val="22"/>
                <w:szCs w:val="22"/>
              </w:rPr>
            </w:pPr>
            <w:r>
              <w:rPr>
                <w:sz w:val="22"/>
                <w:szCs w:val="22"/>
              </w:rPr>
              <w:t>- Sở Tư pháp tỉnh;</w:t>
            </w:r>
          </w:p>
          <w:p w:rsidR="003631E5" w:rsidRDefault="003631E5" w:rsidP="0034049B">
            <w:pPr>
              <w:tabs>
                <w:tab w:val="left" w:pos="1500"/>
                <w:tab w:val="center" w:pos="2458"/>
              </w:tabs>
              <w:jc w:val="both"/>
              <w:rPr>
                <w:sz w:val="22"/>
                <w:szCs w:val="22"/>
              </w:rPr>
            </w:pPr>
            <w:r>
              <w:rPr>
                <w:sz w:val="22"/>
                <w:szCs w:val="22"/>
              </w:rPr>
              <w:t>- Hội Luật gia tỉnh;</w:t>
            </w:r>
          </w:p>
          <w:p w:rsidR="003631E5" w:rsidRDefault="003631E5" w:rsidP="0034049B">
            <w:pPr>
              <w:tabs>
                <w:tab w:val="left" w:pos="1500"/>
                <w:tab w:val="center" w:pos="2458"/>
              </w:tabs>
              <w:jc w:val="both"/>
              <w:rPr>
                <w:sz w:val="22"/>
                <w:szCs w:val="22"/>
              </w:rPr>
            </w:pPr>
            <w:r>
              <w:rPr>
                <w:sz w:val="22"/>
                <w:szCs w:val="22"/>
              </w:rPr>
              <w:t>- Đoàn Luật sư tỉnh;</w:t>
            </w:r>
          </w:p>
          <w:p w:rsidR="003631E5" w:rsidRDefault="003631E5" w:rsidP="0034049B">
            <w:pPr>
              <w:tabs>
                <w:tab w:val="left" w:pos="1500"/>
                <w:tab w:val="center" w:pos="2458"/>
              </w:tabs>
              <w:jc w:val="both"/>
              <w:rPr>
                <w:sz w:val="22"/>
                <w:szCs w:val="22"/>
              </w:rPr>
            </w:pPr>
            <w:r>
              <w:rPr>
                <w:sz w:val="22"/>
                <w:szCs w:val="22"/>
              </w:rPr>
              <w:t>- BTT UBMTTQ tỉnh;</w:t>
            </w:r>
          </w:p>
          <w:p w:rsidR="003631E5" w:rsidRDefault="003631E5" w:rsidP="0034049B">
            <w:pPr>
              <w:tabs>
                <w:tab w:val="left" w:pos="1500"/>
                <w:tab w:val="center" w:pos="2458"/>
              </w:tabs>
              <w:jc w:val="both"/>
              <w:rPr>
                <w:sz w:val="22"/>
                <w:szCs w:val="22"/>
              </w:rPr>
            </w:pPr>
            <w:r>
              <w:rPr>
                <w:sz w:val="22"/>
                <w:szCs w:val="22"/>
              </w:rPr>
              <w:t>- BTT UBMTTQ huyện, thị, thành phố;</w:t>
            </w:r>
          </w:p>
          <w:p w:rsidR="003631E5" w:rsidRDefault="003631E5" w:rsidP="0034049B">
            <w:pPr>
              <w:tabs>
                <w:tab w:val="left" w:pos="1500"/>
                <w:tab w:val="center" w:pos="2458"/>
              </w:tabs>
              <w:jc w:val="both"/>
              <w:rPr>
                <w:sz w:val="22"/>
                <w:szCs w:val="22"/>
              </w:rPr>
            </w:pPr>
            <w:r>
              <w:rPr>
                <w:sz w:val="22"/>
                <w:szCs w:val="22"/>
              </w:rPr>
              <w:t>- Lưu: Ban DCPL, VP.</w:t>
            </w:r>
          </w:p>
        </w:tc>
        <w:tc>
          <w:tcPr>
            <w:tcW w:w="4500" w:type="dxa"/>
          </w:tcPr>
          <w:p w:rsidR="003631E5" w:rsidRPr="00567966" w:rsidRDefault="003631E5" w:rsidP="0034049B">
            <w:pPr>
              <w:jc w:val="center"/>
              <w:rPr>
                <w:sz w:val="28"/>
                <w:szCs w:val="26"/>
              </w:rPr>
            </w:pPr>
            <w:r w:rsidRPr="00567966">
              <w:rPr>
                <w:sz w:val="28"/>
                <w:szCs w:val="26"/>
              </w:rPr>
              <w:t>TM. BAN THƯỜNG TRỰC</w:t>
            </w:r>
          </w:p>
          <w:p w:rsidR="003631E5" w:rsidRPr="00567966" w:rsidRDefault="003631E5" w:rsidP="0034049B">
            <w:pPr>
              <w:tabs>
                <w:tab w:val="center" w:pos="2196"/>
              </w:tabs>
              <w:jc w:val="center"/>
              <w:rPr>
                <w:b/>
                <w:sz w:val="28"/>
                <w:szCs w:val="26"/>
              </w:rPr>
            </w:pPr>
            <w:r w:rsidRPr="00567966">
              <w:rPr>
                <w:b/>
                <w:sz w:val="28"/>
                <w:szCs w:val="26"/>
              </w:rPr>
              <w:t xml:space="preserve">PHÓ CHỦ TỊCH </w:t>
            </w:r>
          </w:p>
          <w:p w:rsidR="003631E5" w:rsidRDefault="003631E5" w:rsidP="0034049B">
            <w:pPr>
              <w:jc w:val="center"/>
              <w:rPr>
                <w:sz w:val="28"/>
                <w:szCs w:val="28"/>
              </w:rPr>
            </w:pPr>
          </w:p>
          <w:p w:rsidR="003631E5" w:rsidRDefault="003631E5" w:rsidP="0034049B">
            <w:pPr>
              <w:jc w:val="center"/>
              <w:rPr>
                <w:sz w:val="28"/>
                <w:szCs w:val="28"/>
              </w:rPr>
            </w:pPr>
            <w:r>
              <w:rPr>
                <w:sz w:val="28"/>
                <w:szCs w:val="28"/>
              </w:rPr>
              <w:t>Đã ký</w:t>
            </w:r>
          </w:p>
          <w:p w:rsidR="003631E5" w:rsidRDefault="003631E5" w:rsidP="0034049B">
            <w:pPr>
              <w:tabs>
                <w:tab w:val="left" w:pos="1560"/>
              </w:tabs>
              <w:jc w:val="center"/>
              <w:rPr>
                <w:i/>
                <w:sz w:val="28"/>
                <w:szCs w:val="28"/>
              </w:rPr>
            </w:pPr>
          </w:p>
          <w:p w:rsidR="003631E5" w:rsidRDefault="003631E5" w:rsidP="0034049B">
            <w:pPr>
              <w:tabs>
                <w:tab w:val="left" w:pos="1560"/>
              </w:tabs>
              <w:jc w:val="center"/>
              <w:rPr>
                <w:sz w:val="28"/>
                <w:szCs w:val="28"/>
              </w:rPr>
            </w:pPr>
          </w:p>
          <w:p w:rsidR="003631E5" w:rsidRDefault="003631E5" w:rsidP="0034049B">
            <w:pPr>
              <w:tabs>
                <w:tab w:val="left" w:pos="1560"/>
              </w:tabs>
              <w:jc w:val="center"/>
              <w:rPr>
                <w:b/>
                <w:sz w:val="28"/>
                <w:szCs w:val="28"/>
              </w:rPr>
            </w:pPr>
          </w:p>
          <w:p w:rsidR="003631E5" w:rsidRDefault="003631E5" w:rsidP="0034049B">
            <w:pPr>
              <w:tabs>
                <w:tab w:val="left" w:pos="1560"/>
              </w:tabs>
              <w:jc w:val="center"/>
              <w:rPr>
                <w:b/>
              </w:rPr>
            </w:pPr>
            <w:r>
              <w:rPr>
                <w:b/>
                <w:sz w:val="28"/>
                <w:szCs w:val="28"/>
              </w:rPr>
              <w:t>Nguyễn Thị Mai Thủy</w:t>
            </w:r>
          </w:p>
        </w:tc>
      </w:tr>
    </w:tbl>
    <w:p w:rsidR="00D30D66" w:rsidRDefault="003631E5"/>
    <w:sectPr w:rsidR="00D30D66" w:rsidSect="003631E5">
      <w:pgSz w:w="12240" w:h="15840"/>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631E5"/>
    <w:rsid w:val="00355DF2"/>
    <w:rsid w:val="003631E5"/>
    <w:rsid w:val="003A07ED"/>
    <w:rsid w:val="00B62ECD"/>
    <w:rsid w:val="00F54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1E5"/>
    <w:pPr>
      <w:spacing w:line="240" w:lineRule="auto"/>
    </w:pPr>
    <w:rPr>
      <w:rFonts w:eastAsia="Times New Roman" w:cs="Arial"/>
      <w:bCs/>
      <w:position w:val="-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3631E5"/>
    <w:pPr>
      <w:spacing w:after="120"/>
      <w:ind w:left="360"/>
    </w:pPr>
  </w:style>
  <w:style w:type="character" w:customStyle="1" w:styleId="BodyTextIndentChar">
    <w:name w:val="Body Text Indent Char"/>
    <w:basedOn w:val="DefaultParagraphFont"/>
    <w:link w:val="BodyTextIndent"/>
    <w:semiHidden/>
    <w:rsid w:val="003631E5"/>
    <w:rPr>
      <w:rFonts w:eastAsia="Times New Roman" w:cs="Arial"/>
      <w:bCs/>
      <w:position w:val="-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H2Com</cp:lastModifiedBy>
  <cp:revision>1</cp:revision>
  <dcterms:created xsi:type="dcterms:W3CDTF">2018-03-29T08:14:00Z</dcterms:created>
  <dcterms:modified xsi:type="dcterms:W3CDTF">2018-03-29T08:15:00Z</dcterms:modified>
</cp:coreProperties>
</file>